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8B" w:rsidRPr="00724B5F" w:rsidRDefault="0047198B" w:rsidP="0047198B">
      <w:pPr>
        <w:widowControl/>
        <w:shd w:val="clear" w:color="auto" w:fill="FFFFFF"/>
        <w:jc w:val="center"/>
        <w:rPr>
          <w:rFonts w:ascii="微软雅黑" w:eastAsia="微软雅黑" w:hAnsi="微软雅黑" w:cs="宋体"/>
          <w:kern w:val="0"/>
          <w:sz w:val="32"/>
          <w:szCs w:val="32"/>
        </w:rPr>
      </w:pPr>
      <w:r w:rsidRPr="00724B5F">
        <w:rPr>
          <w:rFonts w:ascii="黑体" w:eastAsia="黑体" w:hAnsi="黑体" w:cs="Calibri" w:hint="eastAsia"/>
          <w:kern w:val="0"/>
          <w:sz w:val="32"/>
          <w:szCs w:val="32"/>
        </w:rPr>
        <w:t>实验室安全现场检查要求及计分表</w:t>
      </w:r>
    </w:p>
    <w:tbl>
      <w:tblPr>
        <w:tblW w:w="8961" w:type="dxa"/>
        <w:jc w:val="center"/>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6"/>
        <w:gridCol w:w="850"/>
        <w:gridCol w:w="6207"/>
        <w:gridCol w:w="1050"/>
        <w:gridCol w:w="8"/>
      </w:tblGrid>
      <w:tr w:rsidR="008678C1" w:rsidRPr="00724B5F" w:rsidTr="008678C1">
        <w:trPr>
          <w:trHeight w:val="90"/>
          <w:tblHeader/>
          <w:jc w:val="center"/>
        </w:trPr>
        <w:tc>
          <w:tcPr>
            <w:tcW w:w="8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678C1" w:rsidRPr="00724B5F" w:rsidRDefault="008678C1" w:rsidP="000560AB">
            <w:pPr>
              <w:widowControl/>
              <w:jc w:val="center"/>
              <w:rPr>
                <w:rFonts w:ascii="微软雅黑" w:eastAsia="微软雅黑" w:hAnsi="微软雅黑" w:cs="宋体"/>
                <w:kern w:val="0"/>
                <w:sz w:val="24"/>
                <w:szCs w:val="24"/>
              </w:rPr>
            </w:pPr>
            <w:r w:rsidRPr="00724B5F">
              <w:rPr>
                <w:rFonts w:ascii="黑体" w:eastAsia="黑体" w:hAnsi="黑体" w:cs="Calibri" w:hint="eastAsia"/>
                <w:kern w:val="0"/>
                <w:sz w:val="24"/>
                <w:szCs w:val="24"/>
              </w:rPr>
              <w:t>类别</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678C1" w:rsidRPr="00724B5F" w:rsidRDefault="008678C1" w:rsidP="000560AB">
            <w:pPr>
              <w:widowControl/>
              <w:jc w:val="center"/>
              <w:rPr>
                <w:rFonts w:ascii="微软雅黑" w:eastAsia="微软雅黑" w:hAnsi="微软雅黑" w:cs="宋体"/>
                <w:kern w:val="0"/>
                <w:sz w:val="24"/>
                <w:szCs w:val="24"/>
              </w:rPr>
            </w:pPr>
            <w:r w:rsidRPr="00724B5F">
              <w:rPr>
                <w:rFonts w:ascii="黑体" w:eastAsia="黑体" w:hAnsi="黑体" w:cs="Calibri" w:hint="eastAsia"/>
                <w:kern w:val="0"/>
                <w:sz w:val="24"/>
                <w:szCs w:val="24"/>
              </w:rPr>
              <w:t>序号</w:t>
            </w:r>
          </w:p>
        </w:tc>
        <w:tc>
          <w:tcPr>
            <w:tcW w:w="6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678C1" w:rsidRPr="00724B5F" w:rsidRDefault="008678C1" w:rsidP="000560AB">
            <w:pPr>
              <w:widowControl/>
              <w:jc w:val="center"/>
              <w:rPr>
                <w:rFonts w:ascii="微软雅黑" w:eastAsia="微软雅黑" w:hAnsi="微软雅黑" w:cs="宋体"/>
                <w:kern w:val="0"/>
                <w:sz w:val="24"/>
                <w:szCs w:val="24"/>
              </w:rPr>
            </w:pPr>
            <w:r w:rsidRPr="00724B5F">
              <w:rPr>
                <w:rFonts w:ascii="黑体" w:eastAsia="黑体" w:hAnsi="黑体" w:cs="Calibri" w:hint="eastAsia"/>
                <w:kern w:val="0"/>
                <w:sz w:val="24"/>
                <w:szCs w:val="24"/>
              </w:rPr>
              <w:t>考核内容及要求</w:t>
            </w:r>
          </w:p>
        </w:tc>
        <w:tc>
          <w:tcPr>
            <w:tcW w:w="1058" w:type="dxa"/>
            <w:gridSpan w:val="2"/>
            <w:tcBorders>
              <w:top w:val="single" w:sz="8" w:space="0" w:color="auto"/>
              <w:left w:val="nil"/>
              <w:bottom w:val="single" w:sz="8" w:space="0" w:color="auto"/>
              <w:right w:val="single" w:sz="8" w:space="0" w:color="auto"/>
            </w:tcBorders>
            <w:shd w:val="clear" w:color="auto" w:fill="FFFFFF"/>
          </w:tcPr>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扣分</w:t>
            </w:r>
            <w:r w:rsidR="00B86AB2">
              <w:rPr>
                <w:rFonts w:ascii="黑体" w:eastAsia="黑体" w:hAnsi="黑体" w:cs="Calibri" w:hint="eastAsia"/>
                <w:kern w:val="0"/>
                <w:sz w:val="24"/>
                <w:szCs w:val="24"/>
              </w:rPr>
              <w:t>数</w:t>
            </w:r>
          </w:p>
        </w:tc>
      </w:tr>
      <w:tr w:rsidR="008678C1" w:rsidRPr="00724B5F" w:rsidTr="008678C1">
        <w:trPr>
          <w:jc w:val="center"/>
        </w:trPr>
        <w:tc>
          <w:tcPr>
            <w:tcW w:w="8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黑体" w:eastAsia="黑体" w:hAnsi="黑体" w:cs="Calibri" w:hint="eastAsia"/>
                <w:kern w:val="0"/>
                <w:sz w:val="24"/>
                <w:szCs w:val="24"/>
              </w:rPr>
              <w:t>用</w:t>
            </w:r>
          </w:p>
          <w:p w:rsidR="008678C1" w:rsidRPr="00724B5F" w:rsidRDefault="008678C1" w:rsidP="000560AB">
            <w:pPr>
              <w:widowControl/>
              <w:jc w:val="center"/>
              <w:rPr>
                <w:rFonts w:ascii="微软雅黑" w:eastAsia="微软雅黑" w:hAnsi="微软雅黑" w:cs="宋体"/>
                <w:kern w:val="0"/>
                <w:szCs w:val="21"/>
              </w:rPr>
            </w:pPr>
            <w:r w:rsidRPr="00724B5F">
              <w:rPr>
                <w:rFonts w:ascii="黑体" w:eastAsia="黑体" w:hAnsi="黑体" w:cs="Calibri" w:hint="eastAsia"/>
                <w:kern w:val="0"/>
                <w:sz w:val="24"/>
                <w:szCs w:val="24"/>
              </w:rPr>
              <w:t>电</w:t>
            </w:r>
          </w:p>
          <w:p w:rsidR="008678C1" w:rsidRPr="00724B5F" w:rsidRDefault="008678C1" w:rsidP="000560AB">
            <w:pPr>
              <w:widowControl/>
              <w:jc w:val="center"/>
              <w:rPr>
                <w:rFonts w:ascii="微软雅黑" w:eastAsia="微软雅黑" w:hAnsi="微软雅黑" w:cs="宋体"/>
                <w:kern w:val="0"/>
                <w:szCs w:val="21"/>
              </w:rPr>
            </w:pPr>
            <w:r w:rsidRPr="00724B5F">
              <w:rPr>
                <w:rFonts w:ascii="黑体" w:eastAsia="黑体" w:hAnsi="黑体" w:cs="Calibri" w:hint="eastAsia"/>
                <w:kern w:val="0"/>
                <w:sz w:val="24"/>
                <w:szCs w:val="24"/>
              </w:rPr>
              <w:t>用</w:t>
            </w:r>
          </w:p>
          <w:p w:rsidR="008678C1" w:rsidRPr="00724B5F" w:rsidRDefault="008678C1" w:rsidP="000560AB">
            <w:pPr>
              <w:widowControl/>
              <w:jc w:val="center"/>
              <w:rPr>
                <w:rFonts w:ascii="微软雅黑" w:eastAsia="微软雅黑" w:hAnsi="微软雅黑" w:cs="宋体"/>
                <w:kern w:val="0"/>
                <w:szCs w:val="21"/>
              </w:rPr>
            </w:pPr>
            <w:r w:rsidRPr="00724B5F">
              <w:rPr>
                <w:rFonts w:ascii="黑体" w:eastAsia="黑体" w:hAnsi="黑体" w:cs="Calibri" w:hint="eastAsia"/>
                <w:kern w:val="0"/>
                <w:sz w:val="24"/>
                <w:szCs w:val="24"/>
              </w:rPr>
              <w:t>水</w:t>
            </w:r>
          </w:p>
          <w:p w:rsidR="008678C1" w:rsidRPr="00724B5F" w:rsidRDefault="008678C1" w:rsidP="000560AB">
            <w:pPr>
              <w:widowControl/>
              <w:jc w:val="center"/>
              <w:rPr>
                <w:rFonts w:ascii="微软雅黑" w:eastAsia="微软雅黑" w:hAnsi="微软雅黑" w:cs="宋体"/>
                <w:kern w:val="0"/>
                <w:szCs w:val="21"/>
              </w:rPr>
            </w:pPr>
            <w:r w:rsidRPr="00724B5F">
              <w:rPr>
                <w:rFonts w:ascii="黑体" w:eastAsia="黑体" w:hAnsi="黑体" w:cs="Calibri" w:hint="eastAsia"/>
                <w:kern w:val="0"/>
                <w:sz w:val="24"/>
                <w:szCs w:val="24"/>
              </w:rPr>
              <w:t>安</w:t>
            </w:r>
          </w:p>
          <w:p w:rsidR="008678C1" w:rsidRPr="00724B5F" w:rsidRDefault="008678C1" w:rsidP="000560AB">
            <w:pPr>
              <w:widowControl/>
              <w:jc w:val="center"/>
              <w:rPr>
                <w:rFonts w:ascii="微软雅黑" w:eastAsia="微软雅黑" w:hAnsi="微软雅黑" w:cs="宋体"/>
                <w:kern w:val="0"/>
                <w:szCs w:val="21"/>
              </w:rPr>
            </w:pPr>
            <w:r w:rsidRPr="00724B5F">
              <w:rPr>
                <w:rFonts w:ascii="黑体" w:eastAsia="黑体" w:hAnsi="黑体" w:cs="Calibri" w:hint="eastAsia"/>
                <w:kern w:val="0"/>
                <w:sz w:val="24"/>
                <w:szCs w:val="24"/>
              </w:rPr>
              <w:t>全</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无乱拉乱接电线电缆现象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无电线老化、使用花线和木质配电板的现象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无大功率仪器使用接线板的现象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无多个接线板串联、接线板直接放在地面的现象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无电源插座未固定、插座插头破损现象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1.6</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大功率仪器（包括空调等）有专用插座，长期不用时，应拔出电源插头</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1.7</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水槽边不安装电源插座，如确有必要，应有防护挡板等</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1.8</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下水道畅通，不存在水龙头、水管漏水现象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1.9</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各类连接管无老化破损现象（特别是冷却冷凝系统的橡胶管接口处）</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1.10</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无自来水龙头开着时人离开的现象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黑体" w:eastAsia="黑体" w:hAnsi="黑体" w:cs="Calibri"/>
                <w:kern w:val="0"/>
                <w:sz w:val="24"/>
                <w:szCs w:val="24"/>
              </w:rPr>
            </w:pPr>
            <w:r w:rsidRPr="00724B5F">
              <w:rPr>
                <w:rFonts w:ascii="Calibri" w:eastAsia="黑体" w:hAnsi="Calibri" w:cs="Calibri"/>
                <w:kern w:val="0"/>
                <w:sz w:val="24"/>
                <w:szCs w:val="24"/>
              </w:rPr>
              <w:t> </w:t>
            </w:r>
            <w:r w:rsidRPr="00724B5F">
              <w:rPr>
                <w:rFonts w:ascii="黑体" w:eastAsia="黑体" w:hAnsi="黑体" w:cs="Calibri" w:hint="eastAsia"/>
                <w:kern w:val="0"/>
                <w:sz w:val="24"/>
                <w:szCs w:val="24"/>
              </w:rPr>
              <w:t>特</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种</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设</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备</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安</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全</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特种设备操作人员有《特种设备操作人员证》，并按规定复审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rPr>
                <w:rFonts w:ascii="仿宋" w:eastAsia="仿宋" w:hAnsi="仿宋" w:cs="Calibri"/>
                <w:kern w:val="0"/>
                <w:sz w:val="24"/>
                <w:szCs w:val="24"/>
              </w:rPr>
            </w:pPr>
            <w:r w:rsidRPr="00724B5F">
              <w:rPr>
                <w:rFonts w:ascii="仿宋" w:eastAsia="仿宋" w:hAnsi="仿宋" w:cs="Calibri" w:hint="eastAsia"/>
                <w:kern w:val="0"/>
                <w:sz w:val="24"/>
                <w:szCs w:val="24"/>
              </w:rPr>
              <w:t>实验室特种设备贴有警示标识、操作规程上墙</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实验室有特种设备操作人员守则、使用规范、安全阀保养记录、常规检查记录等技术台账，按规定期限维护、检修、保养设备</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涉及有毒、易燃易爆气体钢瓶的场所，配有通风设施、相应气体泄漏和报警装置等，张贴必要的警示标识</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从合格供应商处采购实验气体，建立气体钢瓶台帐</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2.6</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气体钢瓶已配置气瓶柜或气瓶防倒链或防倒栏栅，钢瓶颜色和字体清楚，有状态标识牌</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2.7</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可燃性气体与氧气等助燃气体无混放现象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2.8</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气体管路和钢瓶连接正确，并时常进行检漏，检漏有记录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2.9</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气体管路材质选择合适，无破损或老化现象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27"/>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2.10</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存在多条气体管路的房间张贴详细的管路图</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27"/>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仿宋" w:eastAsia="仿宋" w:hAnsi="仿宋" w:cs="Calibri"/>
                <w:kern w:val="0"/>
                <w:sz w:val="24"/>
                <w:szCs w:val="24"/>
              </w:rPr>
            </w:pPr>
            <w:r w:rsidRPr="00724B5F">
              <w:rPr>
                <w:rFonts w:ascii="仿宋" w:eastAsia="仿宋" w:hAnsi="仿宋" w:cs="Calibri" w:hint="eastAsia"/>
                <w:kern w:val="0"/>
                <w:sz w:val="24"/>
                <w:szCs w:val="24"/>
              </w:rPr>
              <w:t>2.11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无废旧气体钢瓶堆放现象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27"/>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仿宋" w:eastAsia="仿宋" w:hAnsi="仿宋" w:cs="Calibri"/>
                <w:kern w:val="0"/>
                <w:sz w:val="24"/>
                <w:szCs w:val="24"/>
              </w:rPr>
            </w:pPr>
            <w:r w:rsidRPr="00724B5F">
              <w:rPr>
                <w:rFonts w:ascii="仿宋" w:eastAsia="仿宋" w:hAnsi="仿宋" w:cs="Calibri" w:hint="eastAsia"/>
                <w:kern w:val="0"/>
                <w:sz w:val="24"/>
                <w:szCs w:val="24"/>
              </w:rPr>
              <w:t>2.12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气体钢瓶不得放在走廊、大厅等公共场所</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27"/>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仿宋" w:eastAsia="仿宋" w:hAnsi="仿宋" w:cs="Calibri"/>
                <w:kern w:val="0"/>
                <w:sz w:val="24"/>
                <w:szCs w:val="24"/>
              </w:rPr>
            </w:pPr>
            <w:r w:rsidRPr="00724B5F">
              <w:rPr>
                <w:rFonts w:ascii="仿宋" w:eastAsia="仿宋" w:hAnsi="仿宋" w:cs="Calibri" w:hint="eastAsia"/>
                <w:kern w:val="0"/>
                <w:sz w:val="24"/>
                <w:szCs w:val="24"/>
              </w:rPr>
              <w:t>2.13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存有大量惰性气体或液氮、</w:t>
            </w:r>
            <w:r w:rsidRPr="00724B5F">
              <w:rPr>
                <w:rFonts w:ascii="仿宋" w:eastAsia="仿宋" w:hAnsi="仿宋" w:cs="Calibri"/>
                <w:kern w:val="0"/>
                <w:sz w:val="24"/>
                <w:szCs w:val="24"/>
              </w:rPr>
              <w:t>CO</w:t>
            </w:r>
            <w:r w:rsidRPr="00724B5F">
              <w:rPr>
                <w:rFonts w:ascii="仿宋" w:eastAsia="仿宋" w:hAnsi="仿宋" w:cs="Calibri"/>
                <w:kern w:val="0"/>
                <w:sz w:val="18"/>
                <w:szCs w:val="24"/>
              </w:rPr>
              <w:t>2</w:t>
            </w:r>
            <w:r w:rsidRPr="00724B5F">
              <w:rPr>
                <w:rFonts w:ascii="仿宋" w:eastAsia="仿宋" w:hAnsi="仿宋" w:cs="Calibri"/>
                <w:kern w:val="0"/>
                <w:sz w:val="24"/>
                <w:szCs w:val="24"/>
              </w:rPr>
              <w:t>的较小密闭空间，防止大量泄漏或蒸发导致缺氧，需加装氧气含量报警器</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27"/>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仿宋" w:eastAsia="仿宋" w:hAnsi="仿宋" w:cs="Calibri"/>
                <w:kern w:val="0"/>
                <w:sz w:val="24"/>
                <w:szCs w:val="24"/>
              </w:rPr>
            </w:pPr>
            <w:r w:rsidRPr="00724B5F">
              <w:rPr>
                <w:rFonts w:ascii="仿宋" w:eastAsia="仿宋" w:hAnsi="仿宋" w:cs="Calibri" w:hint="eastAsia"/>
                <w:kern w:val="0"/>
                <w:sz w:val="24"/>
                <w:szCs w:val="24"/>
              </w:rPr>
              <w:t>2.14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气体钢瓶室，通风、不混放、有监控、管路有标识、去向明确</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27"/>
          <w:jc w:val="center"/>
        </w:trPr>
        <w:tc>
          <w:tcPr>
            <w:tcW w:w="846" w:type="dxa"/>
            <w:vMerge/>
            <w:tcBorders>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仿宋" w:eastAsia="仿宋" w:hAnsi="仿宋" w:cs="Calibri"/>
                <w:kern w:val="0"/>
                <w:sz w:val="24"/>
                <w:szCs w:val="24"/>
              </w:rPr>
            </w:pPr>
            <w:r w:rsidRPr="00724B5F">
              <w:rPr>
                <w:rFonts w:ascii="仿宋" w:eastAsia="仿宋" w:hAnsi="仿宋" w:cs="Calibri" w:hint="eastAsia"/>
                <w:kern w:val="0"/>
                <w:sz w:val="24"/>
                <w:szCs w:val="24"/>
              </w:rPr>
              <w:t>2.15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及时关闭气瓶总阀</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767"/>
          <w:jc w:val="center"/>
        </w:trPr>
        <w:tc>
          <w:tcPr>
            <w:tcW w:w="8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化</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学</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品</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lastRenderedPageBreak/>
              <w:t>安</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全</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lastRenderedPageBreak/>
              <w:t>3.1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危险化学品的采购、使用符合国家及学校的相关规定，有出入库记录和使用台账</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无违规转运化学试剂的现象（如携带化学试剂、样品乘坐</w:t>
            </w:r>
            <w:r w:rsidRPr="00724B5F">
              <w:rPr>
                <w:rFonts w:ascii="仿宋" w:eastAsia="仿宋" w:hAnsi="仿宋" w:cs="Calibri" w:hint="eastAsia"/>
                <w:kern w:val="0"/>
                <w:sz w:val="24"/>
                <w:szCs w:val="24"/>
              </w:rPr>
              <w:lastRenderedPageBreak/>
              <w:t>校车、公共交通工具等）</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实验室内有所用危险化学品的MSDS，实验人员了解所使用化学品的危险特性、安全防护知识、废弃物处置、应急处理方法等</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化学试剂标签无脱落、模糊现象；配置化学品有清晰标签</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实验台架无挡板不存放化学试剂</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856"/>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3.6</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化学品不存在叠放现象，化学品分类有序存放：强酸与强碱、氧化剂与还原剂等分开存放，并经常清理</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471"/>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3.7</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固体与液体分开存放（如在同一试剂柜中，液体放置在下层）</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409"/>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3.8</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易燃易爆化学品存放在防火防爆安全柜中，酸碱试剂放在耐酸碱柜中</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3.9</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管制类药品上锁保管，有领取、使用、处置记录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3.10</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无过量存放化学试剂现象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腐蚀溶剂配有托盘类的二次泄漏防护容器</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无试剂瓶、烧瓶等开口放置的现象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880"/>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危险化学品均有效密封，控制易挥发化学品气味的扩散，实验室无刺激性气味</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冰箱内储存试剂可靠密封，螺口拧紧，无开口容器；不放置食品</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898"/>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冰箱内存放的物品必须标识明确（包括品名、使用人、日期等）经常清理，有清理记录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512"/>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3.16</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贮存危险化学品的冰箱为防爆冰箱或经过防爆改造的冰箱，冰箱上应注明是否为防爆冰箱</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*3.17</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使用、储存剧毒品的实验室严格执行“五双制度”</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*3.18</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易制毒品分类存放、专人保管，做好领取、使用、处置记录；其中第一类易制毒品实行“五双”管理制度</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674"/>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*3.19</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爆炸品单独隔离，限量存储，使用、销毁按照公安部门的要求执行</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932"/>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3.20</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不存在私自购买危险化学品现象（危险化学品名录以国家最新公布的为准）</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47198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化</w:t>
            </w:r>
          </w:p>
          <w:p w:rsidR="008678C1" w:rsidRPr="00724B5F" w:rsidRDefault="008678C1" w:rsidP="0047198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学</w:t>
            </w:r>
          </w:p>
          <w:p w:rsidR="008678C1" w:rsidRPr="00724B5F" w:rsidRDefault="008678C1" w:rsidP="0047198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废</w:t>
            </w:r>
          </w:p>
          <w:p w:rsidR="008678C1" w:rsidRPr="00724B5F" w:rsidRDefault="008678C1" w:rsidP="0047198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物</w:t>
            </w:r>
          </w:p>
          <w:p w:rsidR="008678C1" w:rsidRPr="00724B5F" w:rsidRDefault="008678C1" w:rsidP="0047198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处</w:t>
            </w:r>
          </w:p>
          <w:p w:rsidR="008678C1" w:rsidRPr="00724B5F" w:rsidRDefault="008678C1" w:rsidP="0047198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置</w:t>
            </w:r>
          </w:p>
          <w:p w:rsidR="008678C1" w:rsidRPr="00724B5F" w:rsidRDefault="008678C1" w:rsidP="0047198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lastRenderedPageBreak/>
              <w:t>安</w:t>
            </w:r>
          </w:p>
          <w:p w:rsidR="008678C1" w:rsidRPr="00724B5F" w:rsidRDefault="008678C1" w:rsidP="0047198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全</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lastRenderedPageBreak/>
              <w:t>4.1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实验室废弃物分类放置，有符合安全要求的分类容器；走道上无堆放废弃物现象，包括废液桶、空试剂瓶等</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4.2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化学废液、化学固体废弃物进行安全分类收集，使用学校统一的化学实验废弃物标签</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*4.3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剧毒品报废程序符合学校要求。不存在擅自处理、转让、调剂剧毒品等现象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4.4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废旧钢瓶应及时申请报废，空瓶另外放置，并悬挂状态标识，确保垂直固定，不与可用气瓶混放</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4.5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废弃物转运时应做好个人防护措施，确保安全</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生</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物</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安</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全</w:t>
            </w:r>
            <w:r w:rsidRPr="00724B5F">
              <w:rPr>
                <w:rFonts w:ascii="Calibri" w:eastAsia="黑体" w:hAnsi="Calibri" w:cs="Calibri"/>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开展病原微生物相关实验和研究的实验室，须具备相应的安全等级资质</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开展病原微生物相关实验和研究的人员经过专业培训，并取得相应的资质证书</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kern w:val="0"/>
                <w:sz w:val="24"/>
                <w:szCs w:val="24"/>
              </w:rPr>
              <w:t>BSL-1/ ABSL-1、BSL-2/ ABSL-2 实验室由学校建设后报政府卫生或农业部门备案</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开展未经灭活的高致病性病原微生物（列入一类、二类）相关实验和研究，必须在BSL-3/ABSL-3实验室中进行</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开展低致病性病原微生物（列入三类、四类），或经灭活的高致病性感染性材料的相关实验和研究，必须在相应等级的实验室中进行</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*5.6</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饲育实验动物的场所应有资质证书，不得在普通实验室饲育实验动物</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*5.7</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实验动物需从具有资质的单位购买，具有合格证书</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5.8</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配有符合相应生物安全等级要求的生物安全柜，定期检查生物安全柜风速及高效空气微粒过滤器性能，并做好记录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5.9</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有开展病原微生物相关实验活动的记录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5.10</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安全操作高速离心机，小心防止离心管破损或盖子破损造成溢出或气溶胶散发</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禁止戴防护手套操作设施设备（包括仪器、冰箱、电脑、电话、开关、门窗、柜子抽屉等）</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有病原微生物保藏、实验使用、销毁的记录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采购高致病性病原微生物需经学院和学校审批，报行业主管部门批准，有记录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外来人员进入生物安全实验室需经负责人批准，并有相关的教育培训、安全防控措施</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tcMar>
              <w:top w:w="0" w:type="dxa"/>
              <w:left w:w="108" w:type="dxa"/>
              <w:bottom w:w="0" w:type="dxa"/>
              <w:right w:w="108" w:type="dxa"/>
            </w:tcMa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出现感冒发热等症状时，不得进行病原微生物实验</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5.16</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在实验操作过程中具有相应的个人防护措施</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5.17</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涉及病原微生物的实验室废弃物必须进行高温高压灭菌或化学浸泡灭菌处理，并有处置记录。高致病性生物材料废弃物处置实现溯源追踪</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5.18</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配备生化实验废物垃圾桶（一般内置黄色塑料袋）；刀片、移液枪头等尖锐物应使用利器盒以避免穿透伤人</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67"/>
          <w:jc w:val="center"/>
        </w:trPr>
        <w:tc>
          <w:tcPr>
            <w:tcW w:w="846" w:type="dxa"/>
            <w:vMerge/>
            <w:tcBorders>
              <w:left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5.19</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仿宋" w:eastAsia="仿宋" w:hAnsi="仿宋" w:cs="Calibri"/>
                <w:kern w:val="0"/>
                <w:sz w:val="24"/>
                <w:szCs w:val="24"/>
              </w:rPr>
            </w:pPr>
            <w:r w:rsidRPr="00724B5F">
              <w:rPr>
                <w:rFonts w:ascii="仿宋" w:eastAsia="仿宋" w:hAnsi="仿宋" w:cs="Calibri" w:hint="eastAsia"/>
                <w:kern w:val="0"/>
                <w:sz w:val="24"/>
                <w:szCs w:val="24"/>
              </w:rPr>
              <w:t>对生物实验废物进行分类收集，并贴好标签，及时送学校回收</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5.20</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rPr>
                <w:rFonts w:ascii="仿宋" w:eastAsia="仿宋" w:hAnsi="仿宋" w:cs="Calibri"/>
                <w:kern w:val="0"/>
                <w:sz w:val="24"/>
                <w:szCs w:val="24"/>
              </w:rPr>
            </w:pPr>
            <w:r w:rsidRPr="00724B5F">
              <w:rPr>
                <w:rFonts w:ascii="仿宋" w:eastAsia="仿宋" w:hAnsi="仿宋" w:cs="Calibri" w:hint="eastAsia"/>
                <w:kern w:val="0"/>
                <w:sz w:val="24"/>
                <w:szCs w:val="24"/>
              </w:rPr>
              <w:t>无实验废物和生活垃圾混放现象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rPr>
                <w:rFonts w:ascii="仿宋" w:eastAsia="仿宋" w:hAnsi="仿宋" w:cs="Calibri"/>
                <w:kern w:val="0"/>
                <w:sz w:val="24"/>
                <w:szCs w:val="24"/>
              </w:rPr>
            </w:pPr>
          </w:p>
        </w:tc>
      </w:tr>
      <w:tr w:rsidR="008678C1" w:rsidRPr="00724B5F" w:rsidTr="008678C1">
        <w:trPr>
          <w:trHeight w:val="218"/>
          <w:jc w:val="center"/>
        </w:trPr>
        <w:tc>
          <w:tcPr>
            <w:tcW w:w="8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A20471">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辐</w:t>
            </w:r>
          </w:p>
          <w:p w:rsidR="008678C1" w:rsidRPr="00724B5F" w:rsidRDefault="008678C1" w:rsidP="00A20471">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lastRenderedPageBreak/>
              <w:t>射</w:t>
            </w:r>
          </w:p>
          <w:p w:rsidR="008678C1" w:rsidRPr="00724B5F" w:rsidRDefault="008678C1" w:rsidP="00A20471">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与</w:t>
            </w:r>
          </w:p>
          <w:p w:rsidR="008678C1" w:rsidRPr="00724B5F" w:rsidRDefault="008678C1" w:rsidP="00A20471">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激</w:t>
            </w:r>
          </w:p>
          <w:p w:rsidR="008678C1" w:rsidRPr="00724B5F" w:rsidRDefault="008678C1" w:rsidP="00A20471">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光</w:t>
            </w:r>
          </w:p>
          <w:p w:rsidR="008678C1" w:rsidRPr="00724B5F" w:rsidRDefault="008678C1" w:rsidP="00A20471">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安</w:t>
            </w:r>
          </w:p>
          <w:p w:rsidR="008678C1" w:rsidRPr="00724B5F" w:rsidRDefault="008678C1" w:rsidP="00A20471">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全</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lastRenderedPageBreak/>
              <w:t>*6.1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放射性操作人员经过了专门培训，有《辐射安全与防护培</w:t>
            </w:r>
            <w:r w:rsidRPr="00724B5F">
              <w:rPr>
                <w:rFonts w:ascii="仿宋" w:eastAsia="仿宋" w:hAnsi="仿宋" w:cs="Calibri" w:hint="eastAsia"/>
                <w:kern w:val="0"/>
                <w:sz w:val="24"/>
                <w:szCs w:val="24"/>
              </w:rPr>
              <w:lastRenderedPageBreak/>
              <w:t>训合格证书》</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涉辐人员定期参加职业体检</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涉辐人员佩带个人剂量计，并按时进行剂量检测（3个月一次），提供合格的个人剂量检测报告</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涉辐实验场所（放射性物质、X射线装置）有安全警示标识、警戒线和剂量报警仪；辐照设施设备具有能正常工作的安全连锁装置</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642"/>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涉辐实验场所配备各种辐射防护器材和表面污染监测仪器设备，有合格的实验场所检测报告</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697"/>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6.6</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辐照装置有符合国家相关规定的操作规程、安保方案及应急预案，并遵照执行</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622"/>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6.7</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电子加速器辐照装置有符合国家相关规定的操作规程、安保方案及应急预案，并遵照执行</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*6.8</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短半衰期核素固液废弃物不得随意丢弃，放置10个半衰期并且经检测达标后作为普通废物处理，并有处置记录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6.9</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有激光器的安全使用方法，激光设备有激光危害标识，功率较大的激光器有互锁装置、防护罩</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6.10</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操作人员有穿戴防护眼镜等防护用品，不带手表等能反光的物品，激光照射方向不会对他人造成伤害</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仪</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器</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设</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备</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安</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全</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大型仪器设备、高功率设备有运行、维护和保养记录</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对于高温、高压、高速运动、电磁辐射等特殊设备，有安全警示标识，并配备相应安全防护设施（如防护罩、防护栏、自屏蔽设施等），操作规程上墙</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烘箱、电阻炉等附近不存放气体钢瓶、易燃易爆化学品和化学废液等</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烘箱、电阻炉等加热设备及冰箱的周围有一定的散热空间，不存在堆放杂物，影响散热的现象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不在烘箱等加热设备内烘烤易燃易爆化学试剂、塑料等易燃物品</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432"/>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7.6</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烘箱、电阻炉等不直接放置在木桌、木板等易燃物品上</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600"/>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7.7</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不得将烘箱、实验室冰箱挪作他用，如烘干私人物品，储存食物等</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7.8</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仪器设备使用时有人值守。如有过夜实验，应有事先审批制度</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7.9</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无电脑、空调、饮水机等随意开机过夜现象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7.10</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仪器设备使用完后，及时关闭电源，包括电脑显示器电源，特别是电吹风、电热枪、电烙铁等加热设备</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402"/>
          <w:jc w:val="center"/>
        </w:trPr>
        <w:tc>
          <w:tcPr>
            <w:tcW w:w="8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个</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人</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防</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lastRenderedPageBreak/>
              <w:t>护</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安</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全</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lastRenderedPageBreak/>
              <w:t>8.1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工作中穿实验服或防护服，按需要佩戴防护眼镜</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8.2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涉及化学和高温实验时，穿戴适当的个人防护用品，不得裸露皮肤，不得佩戴隐形眼镜</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8.3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spacing w:val="-2"/>
                <w:kern w:val="0"/>
                <w:sz w:val="24"/>
                <w:szCs w:val="24"/>
              </w:rPr>
              <w:t>特殊场所按需佩戴安全帽、防护帽，无长发飘散在外的现象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spacing w:val="-2"/>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8.4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按需要佩戴防护手套（涉及不同的有害化学物质、病原微生物、高温和低温等），并正确选择不同种类和材质的手套</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center"/>
              <w:rPr>
                <w:rFonts w:ascii="黑体" w:eastAsia="黑体" w:hAnsi="黑体" w:cs="Calibri"/>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8.5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spacing w:val="-2"/>
                <w:kern w:val="0"/>
                <w:sz w:val="24"/>
                <w:szCs w:val="24"/>
              </w:rPr>
              <w:t>在特殊的实验室使用呼吸器或面罩（如有挥发性毒物、溅射危险等），并正确选择种类，使用后正确储存，不得随意丢弃</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spacing w:val="-2"/>
                <w:kern w:val="0"/>
                <w:sz w:val="24"/>
                <w:szCs w:val="24"/>
              </w:rPr>
            </w:pPr>
          </w:p>
        </w:tc>
      </w:tr>
      <w:tr w:rsidR="008678C1" w:rsidRPr="00724B5F" w:rsidTr="008678C1">
        <w:trPr>
          <w:jc w:val="center"/>
        </w:trPr>
        <w:tc>
          <w:tcPr>
            <w:tcW w:w="84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黑体" w:eastAsia="黑体" w:hAnsi="黑体" w:cs="Calibri"/>
                <w:kern w:val="0"/>
                <w:sz w:val="24"/>
                <w:szCs w:val="24"/>
              </w:rPr>
            </w:pPr>
            <w:r w:rsidRPr="00724B5F">
              <w:rPr>
                <w:rFonts w:ascii="Calibri" w:eastAsia="黑体" w:hAnsi="Calibri" w:cs="Calibri"/>
                <w:kern w:val="0"/>
                <w:sz w:val="24"/>
                <w:szCs w:val="24"/>
              </w:rPr>
              <w:t> </w:t>
            </w:r>
            <w:r w:rsidRPr="00724B5F">
              <w:rPr>
                <w:rFonts w:ascii="黑体" w:eastAsia="黑体" w:hAnsi="黑体" w:cs="Calibri" w:hint="eastAsia"/>
                <w:kern w:val="0"/>
                <w:sz w:val="24"/>
                <w:szCs w:val="24"/>
              </w:rPr>
              <w:t>环</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境</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与</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职</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业</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卫</w:t>
            </w:r>
          </w:p>
          <w:p w:rsidR="008678C1" w:rsidRPr="00724B5F" w:rsidRDefault="008678C1" w:rsidP="000560AB">
            <w:pPr>
              <w:widowControl/>
              <w:jc w:val="center"/>
              <w:rPr>
                <w:rFonts w:ascii="黑体" w:eastAsia="黑体" w:hAnsi="黑体" w:cs="Calibri"/>
                <w:kern w:val="0"/>
                <w:sz w:val="24"/>
                <w:szCs w:val="24"/>
              </w:rPr>
            </w:pPr>
            <w:r w:rsidRPr="00724B5F">
              <w:rPr>
                <w:rFonts w:ascii="黑体" w:eastAsia="黑体" w:hAnsi="黑体" w:cs="Calibri" w:hint="eastAsia"/>
                <w:kern w:val="0"/>
                <w:sz w:val="24"/>
                <w:szCs w:val="24"/>
              </w:rPr>
              <w:t>生</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9.1</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实验进行中不得无人值守，实验结束后检查水电气门窗，确认安全后，关门上锁</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9.2</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spacing w:val="-2"/>
                <w:kern w:val="0"/>
                <w:sz w:val="24"/>
                <w:szCs w:val="24"/>
              </w:rPr>
              <w:t>开展危险性实验须2人及以上操作，不得单独进行，不得脱岗</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spacing w:val="-2"/>
                <w:kern w:val="0"/>
                <w:sz w:val="24"/>
                <w:szCs w:val="24"/>
              </w:rPr>
            </w:pPr>
          </w:p>
        </w:tc>
      </w:tr>
      <w:tr w:rsidR="008678C1" w:rsidRPr="00724B5F" w:rsidTr="008678C1">
        <w:trPr>
          <w:trHeight w:val="372"/>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9.3</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实验室内不存放食物和饮料</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87"/>
          <w:jc w:val="center"/>
        </w:trPr>
        <w:tc>
          <w:tcPr>
            <w:tcW w:w="846" w:type="dxa"/>
            <w:vMerge/>
            <w:tcBorders>
              <w:top w:val="nil"/>
              <w:left w:val="single" w:sz="8" w:space="0" w:color="auto"/>
              <w:bottom w:val="single" w:sz="8"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9.4</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实验室内摆放整齐，保持清洁</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trHeight w:val="345"/>
          <w:jc w:val="center"/>
        </w:trPr>
        <w:tc>
          <w:tcPr>
            <w:tcW w:w="846" w:type="dxa"/>
            <w:vMerge/>
            <w:tcBorders>
              <w:top w:val="nil"/>
              <w:left w:val="single" w:sz="8" w:space="0" w:color="auto"/>
              <w:bottom w:val="single" w:sz="4" w:space="0" w:color="auto"/>
              <w:right w:val="single" w:sz="8" w:space="0" w:color="auto"/>
            </w:tcBorders>
            <w:shd w:val="clear" w:color="auto" w:fill="FFFFFF"/>
            <w:vAlign w:val="center"/>
          </w:tcPr>
          <w:p w:rsidR="008678C1" w:rsidRPr="00724B5F" w:rsidRDefault="008678C1" w:rsidP="000560AB">
            <w:pPr>
              <w:widowControl/>
              <w:jc w:val="left"/>
              <w:rPr>
                <w:rFonts w:ascii="微软雅黑" w:eastAsia="微软雅黑" w:hAnsi="微软雅黑" w:cs="宋体"/>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center"/>
              <w:rPr>
                <w:rFonts w:ascii="微软雅黑" w:eastAsia="微软雅黑" w:hAnsi="微软雅黑" w:cs="宋体"/>
                <w:kern w:val="0"/>
                <w:szCs w:val="21"/>
              </w:rPr>
            </w:pPr>
            <w:r w:rsidRPr="00724B5F">
              <w:rPr>
                <w:rFonts w:ascii="仿宋" w:eastAsia="仿宋" w:hAnsi="仿宋" w:cs="Calibri" w:hint="eastAsia"/>
                <w:kern w:val="0"/>
                <w:sz w:val="24"/>
                <w:szCs w:val="24"/>
              </w:rPr>
              <w:t>9.5</w:t>
            </w:r>
          </w:p>
        </w:tc>
        <w:tc>
          <w:tcPr>
            <w:tcW w:w="6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78C1" w:rsidRPr="00724B5F" w:rsidRDefault="008678C1" w:rsidP="000560AB">
            <w:pPr>
              <w:widowControl/>
              <w:jc w:val="left"/>
              <w:rPr>
                <w:rFonts w:ascii="微软雅黑" w:eastAsia="微软雅黑" w:hAnsi="微软雅黑" w:cs="宋体"/>
                <w:kern w:val="0"/>
                <w:szCs w:val="21"/>
              </w:rPr>
            </w:pPr>
            <w:r w:rsidRPr="00724B5F">
              <w:rPr>
                <w:rFonts w:ascii="仿宋" w:eastAsia="仿宋" w:hAnsi="仿宋" w:cs="Calibri" w:hint="eastAsia"/>
                <w:kern w:val="0"/>
                <w:sz w:val="24"/>
                <w:szCs w:val="24"/>
              </w:rPr>
              <w:t>实验室可视窗无遮挡</w:t>
            </w:r>
          </w:p>
        </w:tc>
        <w:tc>
          <w:tcPr>
            <w:tcW w:w="1058" w:type="dxa"/>
            <w:gridSpan w:val="2"/>
            <w:tcBorders>
              <w:top w:val="nil"/>
              <w:left w:val="nil"/>
              <w:bottom w:val="single" w:sz="8" w:space="0" w:color="auto"/>
              <w:right w:val="single" w:sz="8" w:space="0" w:color="auto"/>
            </w:tcBorders>
            <w:shd w:val="clear" w:color="auto" w:fill="FFFFFF"/>
          </w:tcPr>
          <w:p w:rsidR="008678C1" w:rsidRPr="00724B5F" w:rsidRDefault="008678C1" w:rsidP="000560AB">
            <w:pPr>
              <w:widowControl/>
              <w:jc w:val="left"/>
              <w:rPr>
                <w:rFonts w:ascii="仿宋" w:eastAsia="仿宋" w:hAnsi="仿宋" w:cs="Calibri"/>
                <w:kern w:val="0"/>
                <w:sz w:val="24"/>
                <w:szCs w:val="24"/>
              </w:rPr>
            </w:pPr>
          </w:p>
        </w:tc>
      </w:tr>
      <w:tr w:rsidR="008678C1" w:rsidRPr="00724B5F" w:rsidTr="008678C1">
        <w:trPr>
          <w:gridAfter w:val="1"/>
          <w:wAfter w:w="8" w:type="dxa"/>
          <w:trHeight w:val="568"/>
          <w:jc w:val="center"/>
        </w:trPr>
        <w:tc>
          <w:tcPr>
            <w:tcW w:w="7903" w:type="dxa"/>
            <w:gridSpan w:val="3"/>
            <w:tcBorders>
              <w:top w:val="single" w:sz="4" w:space="0" w:color="auto"/>
              <w:left w:val="single" w:sz="8" w:space="0" w:color="auto"/>
              <w:bottom w:val="single" w:sz="8" w:space="0" w:color="auto"/>
              <w:right w:val="single" w:sz="8" w:space="0" w:color="auto"/>
            </w:tcBorders>
            <w:shd w:val="clear" w:color="auto" w:fill="FFFFFF"/>
            <w:vAlign w:val="center"/>
          </w:tcPr>
          <w:p w:rsidR="008678C1" w:rsidRPr="00A20471" w:rsidRDefault="008678C1" w:rsidP="00A20471">
            <w:pPr>
              <w:widowControl/>
              <w:jc w:val="center"/>
              <w:rPr>
                <w:rFonts w:ascii="仿宋" w:eastAsia="仿宋" w:hAnsi="仿宋" w:cs="Calibri"/>
                <w:b/>
                <w:kern w:val="0"/>
                <w:sz w:val="28"/>
                <w:szCs w:val="28"/>
              </w:rPr>
            </w:pPr>
            <w:r w:rsidRPr="00A20471">
              <w:rPr>
                <w:rFonts w:ascii="仿宋" w:eastAsia="仿宋" w:hAnsi="仿宋" w:cs="Calibri" w:hint="eastAsia"/>
                <w:b/>
                <w:kern w:val="0"/>
                <w:sz w:val="28"/>
                <w:szCs w:val="28"/>
              </w:rPr>
              <w:t>总分</w:t>
            </w:r>
          </w:p>
        </w:tc>
        <w:tc>
          <w:tcPr>
            <w:tcW w:w="1050" w:type="dxa"/>
            <w:tcBorders>
              <w:top w:val="single" w:sz="4" w:space="0" w:color="auto"/>
              <w:bottom w:val="single" w:sz="4" w:space="0" w:color="auto"/>
              <w:right w:val="single" w:sz="4" w:space="0" w:color="auto"/>
            </w:tcBorders>
            <w:shd w:val="clear" w:color="auto" w:fill="auto"/>
          </w:tcPr>
          <w:p w:rsidR="008678C1" w:rsidRPr="00724B5F" w:rsidRDefault="008678C1">
            <w:pPr>
              <w:widowControl/>
              <w:jc w:val="left"/>
            </w:pPr>
          </w:p>
        </w:tc>
      </w:tr>
    </w:tbl>
    <w:p w:rsidR="00B86AB2" w:rsidRDefault="00B86AB2" w:rsidP="00B85677">
      <w:pPr>
        <w:widowControl/>
        <w:shd w:val="clear" w:color="auto" w:fill="FFFFFF"/>
        <w:rPr>
          <w:rFonts w:ascii="仿宋" w:eastAsia="仿宋" w:hAnsi="仿宋" w:cs="宋体" w:hint="eastAsia"/>
          <w:b/>
          <w:kern w:val="0"/>
          <w:sz w:val="24"/>
          <w:szCs w:val="24"/>
        </w:rPr>
      </w:pPr>
    </w:p>
    <w:p w:rsidR="00B85677" w:rsidRDefault="0047198B" w:rsidP="00B85677">
      <w:pPr>
        <w:widowControl/>
        <w:shd w:val="clear" w:color="auto" w:fill="FFFFFF"/>
        <w:rPr>
          <w:rFonts w:ascii="仿宋" w:eastAsia="仿宋" w:hAnsi="仿宋" w:cs="宋体"/>
          <w:b/>
          <w:kern w:val="0"/>
          <w:sz w:val="24"/>
          <w:szCs w:val="24"/>
        </w:rPr>
      </w:pPr>
      <w:bookmarkStart w:id="0" w:name="_GoBack"/>
      <w:bookmarkEnd w:id="0"/>
      <w:r w:rsidRPr="00B85677">
        <w:rPr>
          <w:rFonts w:ascii="仿宋" w:eastAsia="仿宋" w:hAnsi="仿宋" w:cs="宋体" w:hint="eastAsia"/>
          <w:b/>
          <w:kern w:val="0"/>
          <w:sz w:val="24"/>
          <w:szCs w:val="24"/>
        </w:rPr>
        <w:t>注：</w:t>
      </w:r>
      <w:r w:rsidR="00B85677" w:rsidRPr="00B85677">
        <w:rPr>
          <w:rFonts w:ascii="仿宋" w:eastAsia="仿宋" w:hAnsi="仿宋" w:cs="Calibri" w:hint="eastAsia"/>
          <w:kern w:val="0"/>
          <w:sz w:val="24"/>
          <w:szCs w:val="24"/>
        </w:rPr>
        <w:t>1.实验室安全现场</w:t>
      </w:r>
      <w:r w:rsidR="00B85677">
        <w:rPr>
          <w:rFonts w:ascii="仿宋" w:eastAsia="仿宋" w:hAnsi="仿宋" w:cs="Calibri" w:hint="eastAsia"/>
          <w:kern w:val="0"/>
          <w:sz w:val="24"/>
          <w:szCs w:val="24"/>
        </w:rPr>
        <w:t>检查</w:t>
      </w:r>
      <w:r w:rsidR="00B85677" w:rsidRPr="00B85677">
        <w:rPr>
          <w:rFonts w:ascii="仿宋" w:eastAsia="仿宋" w:hAnsi="仿宋" w:cs="Calibri" w:hint="eastAsia"/>
          <w:kern w:val="0"/>
          <w:sz w:val="24"/>
          <w:szCs w:val="24"/>
        </w:rPr>
        <w:t>要求共100项，共100分</w:t>
      </w:r>
      <w:r w:rsidR="00B85677">
        <w:rPr>
          <w:rFonts w:ascii="仿宋" w:eastAsia="仿宋" w:hAnsi="仿宋" w:cs="Calibri" w:hint="eastAsia"/>
          <w:kern w:val="0"/>
          <w:sz w:val="24"/>
          <w:szCs w:val="24"/>
        </w:rPr>
        <w:t>；</w:t>
      </w:r>
    </w:p>
    <w:p w:rsidR="00724B5F" w:rsidRPr="00B85677" w:rsidRDefault="00B85677" w:rsidP="00B85677">
      <w:pPr>
        <w:widowControl/>
        <w:shd w:val="clear" w:color="auto" w:fill="FFFFFF"/>
        <w:ind w:firstLineChars="200" w:firstLine="480"/>
        <w:jc w:val="left"/>
        <w:rPr>
          <w:rFonts w:ascii="仿宋" w:eastAsia="仿宋" w:hAnsi="仿宋" w:cs="Calibri"/>
          <w:kern w:val="0"/>
          <w:sz w:val="24"/>
          <w:szCs w:val="24"/>
        </w:rPr>
      </w:pPr>
      <w:r>
        <w:rPr>
          <w:rFonts w:ascii="仿宋" w:eastAsia="仿宋" w:hAnsi="仿宋" w:cs="宋体" w:hint="eastAsia"/>
          <w:kern w:val="0"/>
          <w:sz w:val="24"/>
          <w:szCs w:val="24"/>
        </w:rPr>
        <w:t>2</w:t>
      </w:r>
      <w:r w:rsidR="00724B5F" w:rsidRPr="00B85677">
        <w:rPr>
          <w:rFonts w:ascii="仿宋" w:eastAsia="仿宋" w:hAnsi="仿宋" w:cs="宋体" w:hint="eastAsia"/>
          <w:kern w:val="0"/>
          <w:sz w:val="24"/>
          <w:szCs w:val="24"/>
        </w:rPr>
        <w:t>.</w:t>
      </w:r>
      <w:r w:rsidRPr="00B85677">
        <w:rPr>
          <w:rFonts w:ascii="仿宋" w:eastAsia="仿宋" w:hAnsi="仿宋" w:cs="Calibri" w:hint="eastAsia"/>
          <w:kern w:val="0"/>
          <w:sz w:val="24"/>
          <w:szCs w:val="24"/>
        </w:rPr>
        <w:t>检查中发现被检查单位有一个实验室房间与加“*”号项不符合的每项扣20分，与未加“*”号项不符合的每项扣1分，不适用项直接得分</w:t>
      </w:r>
      <w:r>
        <w:rPr>
          <w:rFonts w:ascii="仿宋" w:eastAsia="仿宋" w:hAnsi="仿宋" w:cs="Calibri" w:hint="eastAsia"/>
          <w:kern w:val="0"/>
          <w:sz w:val="24"/>
          <w:szCs w:val="24"/>
        </w:rPr>
        <w:t>；</w:t>
      </w:r>
    </w:p>
    <w:p w:rsidR="00B85677" w:rsidRPr="00B85677" w:rsidRDefault="00B85677" w:rsidP="00B85677">
      <w:pPr>
        <w:widowControl/>
        <w:shd w:val="clear" w:color="auto" w:fill="FFFFFF"/>
        <w:ind w:firstLineChars="200" w:firstLine="480"/>
        <w:jc w:val="left"/>
        <w:rPr>
          <w:rFonts w:ascii="仿宋" w:eastAsia="仿宋" w:hAnsi="仿宋" w:cs="Calibri"/>
          <w:kern w:val="0"/>
          <w:sz w:val="24"/>
          <w:szCs w:val="24"/>
        </w:rPr>
      </w:pPr>
      <w:r>
        <w:rPr>
          <w:rFonts w:ascii="仿宋" w:eastAsia="仿宋" w:hAnsi="仿宋" w:cs="Calibri" w:hint="eastAsia"/>
          <w:kern w:val="0"/>
          <w:sz w:val="24"/>
          <w:szCs w:val="24"/>
        </w:rPr>
        <w:t>3</w:t>
      </w:r>
      <w:r w:rsidRPr="00B85677">
        <w:rPr>
          <w:rFonts w:ascii="仿宋" w:eastAsia="仿宋" w:hAnsi="仿宋" w:cs="Calibri" w:hint="eastAsia"/>
          <w:kern w:val="0"/>
          <w:sz w:val="24"/>
          <w:szCs w:val="24"/>
        </w:rPr>
        <w:t>.</w:t>
      </w:r>
      <w:r w:rsidR="00A20471">
        <w:rPr>
          <w:rFonts w:ascii="仿宋" w:eastAsia="仿宋" w:hAnsi="仿宋" w:cs="Calibri" w:hint="eastAsia"/>
          <w:kern w:val="0"/>
          <w:sz w:val="24"/>
          <w:szCs w:val="24"/>
        </w:rPr>
        <w:t>学院（中心）</w:t>
      </w:r>
      <w:r w:rsidRPr="00B85677">
        <w:rPr>
          <w:rFonts w:ascii="仿宋" w:eastAsia="仿宋" w:hAnsi="仿宋" w:cs="Calibri" w:hint="eastAsia"/>
          <w:kern w:val="0"/>
          <w:sz w:val="24"/>
          <w:szCs w:val="24"/>
        </w:rPr>
        <w:t>合计扣分数=扣分数/该单位实验室房间总数。</w:t>
      </w:r>
    </w:p>
    <w:p w:rsidR="00B85677" w:rsidRDefault="00B85677" w:rsidP="00B85677">
      <w:pPr>
        <w:widowControl/>
        <w:shd w:val="clear" w:color="auto" w:fill="FFFFFF"/>
        <w:ind w:firstLineChars="200" w:firstLine="480"/>
        <w:jc w:val="left"/>
        <w:rPr>
          <w:rFonts w:ascii="仿宋" w:eastAsia="仿宋" w:hAnsi="仿宋" w:cs="Calibri"/>
          <w:kern w:val="0"/>
          <w:sz w:val="24"/>
          <w:szCs w:val="24"/>
        </w:rPr>
      </w:pPr>
      <w:r>
        <w:rPr>
          <w:rFonts w:ascii="仿宋" w:eastAsia="仿宋" w:hAnsi="仿宋" w:cs="Calibri" w:hint="eastAsia"/>
          <w:kern w:val="0"/>
          <w:sz w:val="24"/>
          <w:szCs w:val="24"/>
        </w:rPr>
        <w:t>4.</w:t>
      </w:r>
      <w:r w:rsidR="00A20471">
        <w:rPr>
          <w:rFonts w:ascii="仿宋" w:eastAsia="仿宋" w:hAnsi="仿宋" w:cs="Calibri" w:hint="eastAsia"/>
          <w:kern w:val="0"/>
          <w:sz w:val="24"/>
          <w:szCs w:val="24"/>
        </w:rPr>
        <w:t>学院（中心）</w:t>
      </w:r>
      <w:r w:rsidRPr="00B85677">
        <w:rPr>
          <w:rFonts w:ascii="仿宋" w:eastAsia="仿宋" w:hAnsi="仿宋" w:cs="Calibri" w:hint="eastAsia"/>
          <w:kern w:val="0"/>
          <w:sz w:val="24"/>
          <w:szCs w:val="24"/>
        </w:rPr>
        <w:t>年度实验室安全现场</w:t>
      </w:r>
      <w:r w:rsidR="00A20471">
        <w:rPr>
          <w:rFonts w:ascii="仿宋" w:eastAsia="仿宋" w:hAnsi="仿宋" w:cs="Calibri" w:hint="eastAsia"/>
          <w:kern w:val="0"/>
          <w:sz w:val="24"/>
          <w:szCs w:val="24"/>
        </w:rPr>
        <w:t>检查</w:t>
      </w:r>
      <w:r w:rsidRPr="00B85677">
        <w:rPr>
          <w:rFonts w:ascii="仿宋" w:eastAsia="仿宋" w:hAnsi="仿宋" w:cs="Calibri" w:hint="eastAsia"/>
          <w:kern w:val="0"/>
          <w:sz w:val="24"/>
          <w:szCs w:val="24"/>
        </w:rPr>
        <w:t>分值为各次检查结果的</w:t>
      </w:r>
      <w:r w:rsidRPr="00A20471">
        <w:rPr>
          <w:rFonts w:ascii="仿宋" w:eastAsia="仿宋" w:hAnsi="仿宋" w:cs="Calibri" w:hint="eastAsia"/>
          <w:bCs/>
          <w:kern w:val="0"/>
          <w:sz w:val="24"/>
          <w:szCs w:val="24"/>
        </w:rPr>
        <w:t>平均值</w:t>
      </w:r>
      <w:r w:rsidRPr="00B85677">
        <w:rPr>
          <w:rFonts w:ascii="仿宋" w:eastAsia="仿宋" w:hAnsi="仿宋" w:cs="Calibri" w:hint="eastAsia"/>
          <w:kern w:val="0"/>
          <w:sz w:val="24"/>
          <w:szCs w:val="24"/>
        </w:rPr>
        <w:t>，合格分数为80分。</w:t>
      </w:r>
    </w:p>
    <w:p w:rsidR="00A20471" w:rsidRPr="00B85677" w:rsidRDefault="00A20471" w:rsidP="00B85677">
      <w:pPr>
        <w:widowControl/>
        <w:shd w:val="clear" w:color="auto" w:fill="FFFFFF"/>
        <w:ind w:firstLineChars="200" w:firstLine="480"/>
        <w:jc w:val="left"/>
        <w:rPr>
          <w:rFonts w:ascii="仿宋" w:eastAsia="仿宋" w:hAnsi="仿宋" w:cs="Calibri"/>
          <w:kern w:val="0"/>
          <w:sz w:val="24"/>
          <w:szCs w:val="24"/>
        </w:rPr>
      </w:pPr>
    </w:p>
    <w:p w:rsidR="000854DE" w:rsidRPr="00A20471" w:rsidRDefault="000854DE" w:rsidP="00A20471">
      <w:pPr>
        <w:widowControl/>
        <w:shd w:val="clear" w:color="auto" w:fill="FFFFFF"/>
        <w:ind w:firstLineChars="200" w:firstLine="480"/>
        <w:jc w:val="left"/>
        <w:rPr>
          <w:rFonts w:ascii="仿宋" w:eastAsia="仿宋" w:hAnsi="仿宋" w:cs="Calibri"/>
          <w:kern w:val="0"/>
          <w:sz w:val="24"/>
          <w:szCs w:val="24"/>
        </w:rPr>
      </w:pPr>
    </w:p>
    <w:p w:rsidR="00A20471" w:rsidRDefault="00A20471" w:rsidP="00A20471">
      <w:pPr>
        <w:widowControl/>
        <w:shd w:val="clear" w:color="auto" w:fill="FFFFFF"/>
        <w:jc w:val="left"/>
        <w:rPr>
          <w:rFonts w:ascii="仿宋" w:eastAsia="仿宋" w:hAnsi="仿宋" w:cs="Calibri"/>
          <w:kern w:val="0"/>
          <w:sz w:val="24"/>
          <w:szCs w:val="24"/>
        </w:rPr>
      </w:pPr>
    </w:p>
    <w:p w:rsidR="00A20471" w:rsidRDefault="00A20471" w:rsidP="00A20471">
      <w:pPr>
        <w:widowControl/>
        <w:shd w:val="clear" w:color="auto" w:fill="FFFFFF"/>
        <w:jc w:val="left"/>
        <w:rPr>
          <w:rFonts w:ascii="仿宋" w:eastAsia="仿宋" w:hAnsi="仿宋" w:cs="Calibri"/>
          <w:kern w:val="0"/>
          <w:sz w:val="24"/>
          <w:szCs w:val="24"/>
        </w:rPr>
      </w:pPr>
    </w:p>
    <w:p w:rsidR="00A20471" w:rsidRPr="00A20471" w:rsidRDefault="00A20471" w:rsidP="00A20471">
      <w:pPr>
        <w:widowControl/>
        <w:shd w:val="clear" w:color="auto" w:fill="FFFFFF"/>
        <w:jc w:val="left"/>
        <w:rPr>
          <w:rFonts w:ascii="仿宋" w:eastAsia="仿宋" w:hAnsi="仿宋" w:cs="Calibri"/>
          <w:kern w:val="0"/>
          <w:sz w:val="24"/>
          <w:szCs w:val="24"/>
        </w:rPr>
      </w:pPr>
      <w:r>
        <w:rPr>
          <w:rFonts w:ascii="仿宋" w:eastAsia="仿宋" w:hAnsi="仿宋" w:cs="Calibri" w:hint="eastAsia"/>
          <w:kern w:val="0"/>
          <w:sz w:val="24"/>
          <w:szCs w:val="24"/>
        </w:rPr>
        <w:t>二级</w:t>
      </w:r>
      <w:r w:rsidRPr="00A20471">
        <w:rPr>
          <w:rFonts w:ascii="仿宋" w:eastAsia="仿宋" w:hAnsi="仿宋" w:cs="Calibri" w:hint="eastAsia"/>
          <w:kern w:val="0"/>
          <w:sz w:val="24"/>
          <w:szCs w:val="24"/>
        </w:rPr>
        <w:t>单位现场负责人签名：</w:t>
      </w:r>
      <w:r>
        <w:rPr>
          <w:rFonts w:ascii="仿宋" w:eastAsia="仿宋" w:hAnsi="仿宋" w:cs="Calibri" w:hint="eastAsia"/>
          <w:kern w:val="0"/>
          <w:sz w:val="24"/>
          <w:szCs w:val="24"/>
        </w:rPr>
        <w:t xml:space="preserve">                    </w:t>
      </w:r>
      <w:r w:rsidRPr="00A20471">
        <w:rPr>
          <w:rFonts w:ascii="仿宋" w:eastAsia="仿宋" w:hAnsi="仿宋" w:cs="Calibri" w:hint="eastAsia"/>
          <w:kern w:val="0"/>
          <w:sz w:val="24"/>
          <w:szCs w:val="24"/>
        </w:rPr>
        <w:t>安全检查</w:t>
      </w:r>
      <w:r>
        <w:rPr>
          <w:rFonts w:ascii="仿宋" w:eastAsia="仿宋" w:hAnsi="仿宋" w:cs="Calibri" w:hint="eastAsia"/>
          <w:kern w:val="0"/>
          <w:sz w:val="24"/>
          <w:szCs w:val="24"/>
        </w:rPr>
        <w:t>人员</w:t>
      </w:r>
      <w:r w:rsidRPr="00A20471">
        <w:rPr>
          <w:rFonts w:ascii="仿宋" w:eastAsia="仿宋" w:hAnsi="仿宋" w:cs="Calibri" w:hint="eastAsia"/>
          <w:kern w:val="0"/>
          <w:sz w:val="24"/>
          <w:szCs w:val="24"/>
        </w:rPr>
        <w:t>签名：</w:t>
      </w:r>
    </w:p>
    <w:p w:rsidR="00A20471" w:rsidRPr="00A20471" w:rsidRDefault="00A20471" w:rsidP="00A20471">
      <w:pPr>
        <w:widowControl/>
        <w:shd w:val="clear" w:color="auto" w:fill="FFFFFF"/>
        <w:ind w:firstLineChars="200" w:firstLine="480"/>
        <w:jc w:val="left"/>
        <w:rPr>
          <w:rFonts w:ascii="仿宋" w:eastAsia="仿宋" w:hAnsi="仿宋" w:cs="Calibri"/>
          <w:kern w:val="0"/>
          <w:sz w:val="24"/>
          <w:szCs w:val="24"/>
        </w:rPr>
      </w:pPr>
    </w:p>
    <w:p w:rsidR="00A20471" w:rsidRPr="00A20471" w:rsidRDefault="00A20471" w:rsidP="00A20471">
      <w:pPr>
        <w:widowControl/>
        <w:shd w:val="clear" w:color="auto" w:fill="FFFFFF"/>
        <w:ind w:firstLineChars="200" w:firstLine="480"/>
        <w:jc w:val="left"/>
        <w:rPr>
          <w:rFonts w:ascii="仿宋" w:eastAsia="仿宋" w:hAnsi="仿宋" w:cs="Calibri"/>
          <w:kern w:val="0"/>
          <w:sz w:val="24"/>
          <w:szCs w:val="24"/>
        </w:rPr>
      </w:pPr>
    </w:p>
    <w:p w:rsidR="00A20471" w:rsidRDefault="00A20471" w:rsidP="00A20471">
      <w:pPr>
        <w:widowControl/>
        <w:shd w:val="clear" w:color="auto" w:fill="FFFFFF"/>
        <w:ind w:firstLineChars="500" w:firstLine="1200"/>
        <w:jc w:val="left"/>
        <w:rPr>
          <w:rFonts w:ascii="仿宋" w:eastAsia="仿宋" w:hAnsi="仿宋" w:cs="Calibri"/>
          <w:kern w:val="0"/>
          <w:sz w:val="24"/>
          <w:szCs w:val="24"/>
        </w:rPr>
      </w:pPr>
    </w:p>
    <w:p w:rsidR="00A20471" w:rsidRDefault="00A20471" w:rsidP="00A20471">
      <w:pPr>
        <w:widowControl/>
        <w:shd w:val="clear" w:color="auto" w:fill="FFFFFF"/>
        <w:ind w:firstLineChars="500" w:firstLine="1200"/>
        <w:jc w:val="left"/>
        <w:rPr>
          <w:rFonts w:ascii="仿宋" w:eastAsia="仿宋" w:hAnsi="仿宋" w:cs="Calibri"/>
          <w:kern w:val="0"/>
          <w:sz w:val="24"/>
          <w:szCs w:val="24"/>
        </w:rPr>
      </w:pPr>
    </w:p>
    <w:p w:rsidR="00A20471" w:rsidRPr="00A20471" w:rsidRDefault="00A20471" w:rsidP="00A20471">
      <w:pPr>
        <w:widowControl/>
        <w:shd w:val="clear" w:color="auto" w:fill="FFFFFF"/>
        <w:ind w:firstLineChars="700" w:firstLine="1680"/>
        <w:jc w:val="left"/>
        <w:rPr>
          <w:rFonts w:ascii="仿宋" w:eastAsia="仿宋" w:hAnsi="仿宋" w:cs="Calibri"/>
          <w:kern w:val="0"/>
          <w:sz w:val="24"/>
          <w:szCs w:val="24"/>
        </w:rPr>
      </w:pPr>
      <w:r w:rsidRPr="00A20471">
        <w:rPr>
          <w:rFonts w:ascii="仿宋" w:eastAsia="仿宋" w:hAnsi="仿宋" w:cs="Calibri" w:hint="eastAsia"/>
          <w:kern w:val="0"/>
          <w:sz w:val="24"/>
          <w:szCs w:val="24"/>
        </w:rPr>
        <w:t xml:space="preserve">年    月    日                           </w:t>
      </w:r>
      <w:r>
        <w:rPr>
          <w:rFonts w:ascii="仿宋" w:eastAsia="仿宋" w:hAnsi="仿宋" w:cs="Calibri" w:hint="eastAsia"/>
          <w:kern w:val="0"/>
          <w:sz w:val="24"/>
          <w:szCs w:val="24"/>
        </w:rPr>
        <w:t xml:space="preserve"> </w:t>
      </w:r>
      <w:r w:rsidRPr="00A20471">
        <w:rPr>
          <w:rFonts w:ascii="仿宋" w:eastAsia="仿宋" w:hAnsi="仿宋" w:cs="Calibri" w:hint="eastAsia"/>
          <w:kern w:val="0"/>
          <w:sz w:val="24"/>
          <w:szCs w:val="24"/>
        </w:rPr>
        <w:t xml:space="preserve">  年    月    日</w:t>
      </w:r>
    </w:p>
    <w:sectPr w:rsidR="00A20471" w:rsidRPr="00A20471" w:rsidSect="00A20471">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8B"/>
    <w:rsid w:val="000854DE"/>
    <w:rsid w:val="0047198B"/>
    <w:rsid w:val="00724B5F"/>
    <w:rsid w:val="008678C1"/>
    <w:rsid w:val="00A20471"/>
    <w:rsid w:val="00B85677"/>
    <w:rsid w:val="00B8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2021-03-09T01:01:00Z</dcterms:created>
  <dcterms:modified xsi:type="dcterms:W3CDTF">2021-03-09T06:59:00Z</dcterms:modified>
</cp:coreProperties>
</file>